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hint="eastAsia" w:ascii="华文中宋" w:hAnsi="华文中宋" w:eastAsia="华文中宋" w:cs="宋体"/>
          <w:b/>
          <w:kern w:val="0"/>
          <w:sz w:val="52"/>
          <w:szCs w:val="52"/>
        </w:rPr>
      </w:pPr>
    </w:p>
    <w:p>
      <w:pPr>
        <w:spacing w:line="540" w:lineRule="exact"/>
        <w:jc w:val="center"/>
        <w:rPr>
          <w:rFonts w:hint="eastAsia" w:ascii="华文中宋" w:hAnsi="华文中宋" w:eastAsia="华文中宋" w:cs="宋体"/>
          <w:b/>
          <w:kern w:val="0"/>
          <w:sz w:val="52"/>
          <w:szCs w:val="52"/>
        </w:rPr>
      </w:pPr>
    </w:p>
    <w:p>
      <w:pPr>
        <w:spacing w:line="540" w:lineRule="exact"/>
        <w:jc w:val="center"/>
        <w:rPr>
          <w:rFonts w:hint="eastAsia" w:ascii="华文中宋" w:hAnsi="华文中宋" w:eastAsia="华文中宋" w:cs="宋体"/>
          <w:b/>
          <w:kern w:val="0"/>
          <w:sz w:val="52"/>
          <w:szCs w:val="52"/>
        </w:rPr>
      </w:pPr>
    </w:p>
    <w:p>
      <w:pPr>
        <w:spacing w:line="540" w:lineRule="exact"/>
        <w:jc w:val="center"/>
        <w:rPr>
          <w:rFonts w:hint="eastAsia" w:ascii="华文中宋" w:hAnsi="华文中宋" w:eastAsia="华文中宋" w:cs="宋体"/>
          <w:b/>
          <w:kern w:val="0"/>
          <w:sz w:val="52"/>
          <w:szCs w:val="52"/>
        </w:rPr>
      </w:pPr>
    </w:p>
    <w:p>
      <w:pPr>
        <w:spacing w:line="540" w:lineRule="exact"/>
        <w:jc w:val="center"/>
        <w:rPr>
          <w:rFonts w:hint="eastAsia" w:ascii="华文中宋" w:hAnsi="华文中宋" w:eastAsia="华文中宋" w:cs="宋体"/>
          <w:b/>
          <w:kern w:val="0"/>
          <w:sz w:val="52"/>
          <w:szCs w:val="52"/>
        </w:rPr>
      </w:pPr>
    </w:p>
    <w:p>
      <w:pPr>
        <w:spacing w:line="540" w:lineRule="exact"/>
        <w:jc w:val="center"/>
        <w:rPr>
          <w:rFonts w:hint="eastAsia" w:ascii="华文中宋" w:hAnsi="华文中宋" w:eastAsia="华文中宋" w:cs="宋体"/>
          <w:b/>
          <w:kern w:val="0"/>
          <w:sz w:val="52"/>
          <w:szCs w:val="52"/>
        </w:rPr>
      </w:pPr>
    </w:p>
    <w:p>
      <w:pPr>
        <w:spacing w:line="540" w:lineRule="exact"/>
        <w:jc w:val="center"/>
        <w:rPr>
          <w:rFonts w:hint="eastAsia"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r>
        <w:rPr>
          <w:rFonts w:hint="eastAsia" w:ascii="华文中宋" w:hAnsi="华文中宋" w:eastAsia="华文中宋" w:cs="宋体"/>
          <w:b/>
          <w:kern w:val="0"/>
          <w:sz w:val="52"/>
          <w:szCs w:val="52"/>
        </w:rPr>
        <w:t>新疆财政支出绩效自评报告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（2018年度）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240" w:lineRule="auto"/>
        <w:ind w:left="0" w:firstLine="0" w:firstLineChars="0"/>
        <w:jc w:val="left"/>
        <w:rPr>
          <w:rFonts w:hint="eastAsia" w:hAnsi="宋体" w:eastAsia="仿宋_GB2312" w:cs="宋体"/>
          <w:kern w:val="0"/>
          <w:sz w:val="32"/>
          <w:szCs w:val="32"/>
          <w:lang w:eastAsia="zh-CN"/>
        </w:rPr>
      </w:pPr>
      <w:r>
        <w:rPr>
          <w:rFonts w:hint="eastAsia" w:hAnsi="宋体" w:eastAsia="仿宋_GB2312" w:cs="宋体"/>
          <w:kern w:val="0"/>
          <w:sz w:val="36"/>
          <w:szCs w:val="36"/>
        </w:rPr>
        <w:t xml:space="preserve">     项目名称：</w:t>
      </w:r>
      <w:r>
        <w:rPr>
          <w:rFonts w:hint="eastAsia" w:hAnsi="宋体" w:eastAsia="仿宋_GB2312" w:cs="宋体"/>
          <w:kern w:val="0"/>
          <w:sz w:val="32"/>
          <w:szCs w:val="32"/>
        </w:rPr>
        <w:t>英吉沙县检察院</w:t>
      </w:r>
      <w:r>
        <w:rPr>
          <w:rFonts w:hint="eastAsia" w:hAnsi="宋体" w:eastAsia="仿宋_GB2312" w:cs="宋体"/>
          <w:kern w:val="0"/>
          <w:sz w:val="32"/>
          <w:szCs w:val="32"/>
          <w:lang w:eastAsia="zh-CN"/>
        </w:rPr>
        <w:t>政法专项项目支出</w:t>
      </w:r>
    </w:p>
    <w:p>
      <w:pPr>
        <w:spacing w:line="240" w:lineRule="auto"/>
        <w:ind w:left="0" w:firstLine="960" w:firstLineChars="300"/>
        <w:jc w:val="left"/>
        <w:rPr>
          <w:rFonts w:hint="eastAsia" w:ascii="Times New Roman" w:hAnsi="宋体" w:eastAsia="仿宋_GB2312" w:cs="宋体"/>
          <w:kern w:val="0"/>
          <w:sz w:val="32"/>
          <w:szCs w:val="32"/>
        </w:rPr>
      </w:pPr>
      <w:r>
        <w:rPr>
          <w:rFonts w:hint="eastAsia" w:ascii="Times New Roman" w:hAnsi="宋体" w:eastAsia="仿宋_GB2312" w:cs="宋体"/>
          <w:kern w:val="0"/>
          <w:sz w:val="32"/>
          <w:szCs w:val="32"/>
          <w:lang w:val="zh-TW" w:eastAsia="zh-CN"/>
        </w:rPr>
        <w:t>项目</w:t>
      </w:r>
      <w:r>
        <w:rPr>
          <w:rFonts w:hint="eastAsia" w:ascii="Times New Roman" w:hAnsi="宋体" w:eastAsia="仿宋_GB2312" w:cs="宋体"/>
          <w:kern w:val="0"/>
          <w:sz w:val="32"/>
          <w:szCs w:val="32"/>
        </w:rPr>
        <w:t>实施单位（公章）：英吉沙县人民检察院</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自治区主管部门（公章）：</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项目负责人（签章）：麦麦提江·麦麦提敏</w:t>
      </w:r>
    </w:p>
    <w:p>
      <w:pPr>
        <w:spacing w:line="700" w:lineRule="exact"/>
        <w:ind w:firstLine="849" w:firstLineChars="236"/>
        <w:jc w:val="left"/>
        <w:rPr>
          <w:rFonts w:hAnsi="宋体" w:eastAsia="仿宋_GB2312" w:cs="宋体"/>
          <w:kern w:val="0"/>
          <w:sz w:val="36"/>
          <w:szCs w:val="36"/>
        </w:rPr>
      </w:pPr>
      <w:r>
        <w:rPr>
          <w:rFonts w:ascii="仿宋_GB2312" w:hAnsi="仿宋_GB2312" w:eastAsia="仿宋_GB2312" w:cs="仿宋_GB2312"/>
          <w:kern w:val="0"/>
          <w:sz w:val="36"/>
          <w:szCs w:val="36"/>
          <w:lang w:val="zh-TW" w:eastAsia="zh-TW"/>
        </w:rPr>
        <w:t>填报时间：201</w:t>
      </w:r>
      <w:r>
        <w:rPr>
          <w:rFonts w:hint="eastAsia" w:ascii="仿宋_GB2312" w:hAnsi="仿宋_GB2312" w:eastAsia="仿宋_GB2312" w:cs="仿宋_GB2312"/>
          <w:kern w:val="0"/>
          <w:sz w:val="36"/>
          <w:szCs w:val="36"/>
          <w:lang w:val="en-US" w:eastAsia="zh-CN"/>
        </w:rPr>
        <w:t>8</w:t>
      </w:r>
      <w:r>
        <w:rPr>
          <w:rFonts w:ascii="仿宋_GB2312" w:hAnsi="仿宋_GB2312" w:eastAsia="仿宋_GB2312" w:cs="仿宋_GB2312"/>
          <w:kern w:val="0"/>
          <w:sz w:val="36"/>
          <w:szCs w:val="36"/>
          <w:lang w:val="zh-TW" w:eastAsia="zh-TW"/>
        </w:rPr>
        <w:t>年12月</w:t>
      </w:r>
      <w:r>
        <w:rPr>
          <w:rFonts w:hint="eastAsia" w:ascii="仿宋_GB2312" w:hAnsi="仿宋_GB2312" w:eastAsia="仿宋_GB2312" w:cs="仿宋_GB2312"/>
          <w:kern w:val="0"/>
          <w:sz w:val="36"/>
          <w:szCs w:val="36"/>
          <w:lang w:val="en-US" w:eastAsia="zh-CN"/>
        </w:rPr>
        <w:t>30</w:t>
      </w:r>
      <w:r>
        <w:rPr>
          <w:rFonts w:ascii="仿宋_GB2312" w:hAnsi="仿宋_GB2312" w:eastAsia="仿宋_GB2312" w:cs="仿宋_GB2312"/>
          <w:kern w:val="0"/>
          <w:sz w:val="36"/>
          <w:szCs w:val="36"/>
          <w:lang w:val="zh-TW" w:eastAsia="zh-TW"/>
        </w:rPr>
        <w:t>日</w:t>
      </w:r>
    </w:p>
    <w:p>
      <w:pPr>
        <w:spacing w:line="540" w:lineRule="exact"/>
        <w:jc w:val="center"/>
        <w:rPr>
          <w:rFonts w:hAnsi="宋体" w:eastAsia="仿宋_GB2312" w:cs="宋体"/>
          <w:kern w:val="0"/>
          <w:sz w:val="30"/>
          <w:szCs w:val="30"/>
        </w:rPr>
      </w:pPr>
    </w:p>
    <w:p>
      <w:pPr>
        <w:adjustRightInd w:val="0"/>
        <w:snapToGrid w:val="0"/>
        <w:spacing w:line="560" w:lineRule="exact"/>
        <w:jc w:val="both"/>
        <w:rPr>
          <w:rFonts w:hint="eastAsia" w:ascii="黑体" w:hAnsi="黑体" w:eastAsia="黑体" w:cs="宋体"/>
          <w:b/>
          <w:kern w:val="0"/>
          <w:sz w:val="36"/>
          <w:szCs w:val="36"/>
        </w:rPr>
      </w:pPr>
    </w:p>
    <w:p>
      <w:pPr>
        <w:spacing w:line="240" w:lineRule="auto"/>
        <w:ind w:left="0" w:firstLine="0" w:firstLineChars="0"/>
        <w:jc w:val="center"/>
        <w:rPr>
          <w:rFonts w:hint="eastAsia" w:ascii="黑体" w:hAnsi="黑体" w:eastAsia="黑体" w:cs="宋体"/>
          <w:b/>
          <w:kern w:val="0"/>
          <w:sz w:val="36"/>
          <w:szCs w:val="36"/>
          <w:lang w:val="en-US" w:eastAsia="zh-CN"/>
        </w:rPr>
      </w:pPr>
      <w:r>
        <w:rPr>
          <w:rFonts w:hint="eastAsia" w:ascii="黑体" w:hAnsi="黑体" w:eastAsia="黑体" w:cs="宋体"/>
          <w:b/>
          <w:kern w:val="0"/>
          <w:sz w:val="36"/>
          <w:szCs w:val="36"/>
          <w:lang w:val="en-US" w:eastAsia="zh-CN"/>
        </w:rPr>
        <w:t>2018年英吉沙县检察院政法专项项目项目</w:t>
      </w:r>
    </w:p>
    <w:p>
      <w:pPr>
        <w:spacing w:line="240" w:lineRule="auto"/>
        <w:ind w:left="0" w:firstLine="0" w:firstLineChars="0"/>
        <w:jc w:val="center"/>
        <w:rPr>
          <w:rFonts w:hint="eastAsia" w:ascii="黑体" w:hAnsi="黑体" w:eastAsia="黑体" w:cs="宋体"/>
          <w:b/>
          <w:kern w:val="0"/>
          <w:sz w:val="36"/>
          <w:szCs w:val="36"/>
          <w:lang w:val="en-US" w:eastAsia="zh-CN"/>
        </w:rPr>
      </w:pPr>
      <w:r>
        <w:rPr>
          <w:rFonts w:hint="eastAsia" w:ascii="黑体" w:hAnsi="黑体" w:eastAsia="黑体" w:cs="宋体"/>
          <w:b/>
          <w:kern w:val="0"/>
          <w:sz w:val="36"/>
          <w:szCs w:val="36"/>
          <w:lang w:val="en-US" w:eastAsia="zh-CN"/>
        </w:rPr>
        <w:t>绩效自评报告</w:t>
      </w:r>
    </w:p>
    <w:p>
      <w:pPr>
        <w:adjustRightInd w:val="0"/>
        <w:snapToGrid w:val="0"/>
        <w:spacing w:line="560" w:lineRule="exact"/>
        <w:ind w:left="0" w:leftChars="0" w:firstLine="0" w:firstLineChars="0"/>
        <w:jc w:val="center"/>
        <w:rPr>
          <w:rFonts w:hint="eastAsia" w:ascii="黑体" w:hAnsi="黑体" w:eastAsia="黑体" w:cs="宋体"/>
          <w:b/>
          <w:kern w:val="0"/>
          <w:sz w:val="36"/>
          <w:szCs w:val="36"/>
          <w:lang w:val="en-US" w:eastAsia="zh-CN"/>
        </w:rPr>
      </w:pP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一、项目概况</w:t>
      </w:r>
    </w:p>
    <w:p>
      <w:pPr>
        <w:adjustRightInd w:val="0"/>
        <w:snapToGrid w:val="0"/>
        <w:spacing w:line="56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（一）项目单位基本情况</w:t>
      </w:r>
    </w:p>
    <w:p>
      <w:pPr>
        <w:pStyle w:val="16"/>
        <w:widowControl/>
        <w:spacing w:before="0" w:beforeAutospacing="0" w:after="0" w:afterAutospacing="0" w:line="560" w:lineRule="atLeast"/>
        <w:ind w:firstLine="640" w:firstLineChars="200"/>
        <w:jc w:val="both"/>
        <w:rPr>
          <w:rFonts w:cs="仿宋"/>
          <w:bCs/>
          <w:color w:val="333333"/>
        </w:rPr>
      </w:pPr>
      <w:r>
        <w:rPr>
          <w:rFonts w:hint="eastAsia" w:ascii="仿宋" w:hAnsi="仿宋" w:eastAsia="仿宋" w:cs="仿宋"/>
          <w:color w:val="333333"/>
          <w:sz w:val="32"/>
          <w:szCs w:val="32"/>
        </w:rPr>
        <w:t>英吉沙县人民检察院是国家法律监督机关，</w:t>
      </w:r>
      <w:r>
        <w:rPr>
          <w:rFonts w:hint="eastAsia" w:ascii="仿宋" w:hAnsi="仿宋" w:eastAsia="仿宋" w:cs="仿宋"/>
          <w:color w:val="333333"/>
          <w:sz w:val="32"/>
          <w:szCs w:val="32"/>
          <w:lang w:eastAsia="zh-CN"/>
        </w:rPr>
        <w:t>编制</w:t>
      </w:r>
      <w:r>
        <w:rPr>
          <w:rFonts w:hint="eastAsia" w:ascii="仿宋" w:hAnsi="仿宋" w:eastAsia="仿宋" w:cs="仿宋"/>
          <w:color w:val="333333"/>
          <w:sz w:val="32"/>
          <w:szCs w:val="32"/>
          <w:lang w:val="en-US" w:eastAsia="zh-CN"/>
        </w:rPr>
        <w:t>35人，其中行政编制33人，工勤编2人</w:t>
      </w:r>
      <w:r>
        <w:rPr>
          <w:rFonts w:hint="eastAsia" w:ascii="仿宋" w:hAnsi="仿宋" w:eastAsia="仿宋" w:cs="仿宋"/>
          <w:color w:val="333333"/>
          <w:sz w:val="32"/>
          <w:szCs w:val="32"/>
        </w:rPr>
        <w:t>。该院以执法办案为第一要务，以提升检察业务为中心，以强化诉讼监督为抓手，以加强队伍建设为保障，紧紧围绕“让人民群众在每一个司法案件中都能感受到公平正义”的目标，努力保护合法权益，不断提高司法公信</w:t>
      </w:r>
      <w:r>
        <w:rPr>
          <w:rFonts w:ascii="仿宋" w:hAnsi="仿宋" w:eastAsia="仿宋" w:cs="仿宋"/>
          <w:color w:val="333333"/>
          <w:sz w:val="32"/>
          <w:szCs w:val="32"/>
        </w:rPr>
        <w:t>,</w:t>
      </w:r>
      <w:r>
        <w:rPr>
          <w:rFonts w:hint="eastAsia" w:ascii="仿宋" w:hAnsi="仿宋" w:eastAsia="仿宋" w:cs="仿宋"/>
          <w:color w:val="333333"/>
          <w:sz w:val="32"/>
          <w:szCs w:val="32"/>
        </w:rPr>
        <w:t>为英吉沙社会</w:t>
      </w:r>
      <w:r>
        <w:rPr>
          <w:rFonts w:hint="eastAsia" w:ascii="仿宋" w:hAnsi="仿宋" w:eastAsia="仿宋" w:cs="仿宋"/>
          <w:color w:val="333333"/>
          <w:sz w:val="32"/>
          <w:szCs w:val="32"/>
          <w:lang w:eastAsia="zh-CN"/>
        </w:rPr>
        <w:t>和谐</w:t>
      </w:r>
      <w:bookmarkStart w:id="0" w:name="_GoBack"/>
      <w:bookmarkEnd w:id="0"/>
      <w:r>
        <w:rPr>
          <w:rFonts w:hint="eastAsia" w:ascii="仿宋" w:hAnsi="仿宋" w:eastAsia="仿宋" w:cs="仿宋"/>
          <w:color w:val="333333"/>
          <w:sz w:val="32"/>
          <w:szCs w:val="32"/>
        </w:rPr>
        <w:t>和长治久安提供强有力的司法保障和法律服务。本单位设置了侦监科、民行科、公诉科、法警大队、监所科、控申科、案管办、政工科、纪检组、行政办等科室。</w:t>
      </w:r>
    </w:p>
    <w:p>
      <w:pPr>
        <w:adjustRightInd w:val="0"/>
        <w:snapToGrid w:val="0"/>
        <w:spacing w:line="56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（二）项目预算</w:t>
      </w:r>
      <w:r>
        <w:rPr>
          <w:rStyle w:val="19"/>
          <w:rFonts w:ascii="楷体" w:hAnsi="楷体" w:eastAsia="楷体"/>
          <w:spacing w:val="-4"/>
          <w:sz w:val="32"/>
          <w:szCs w:val="32"/>
        </w:rPr>
        <w:t>绩效目标</w:t>
      </w:r>
      <w:r>
        <w:rPr>
          <w:rStyle w:val="19"/>
          <w:rFonts w:hint="eastAsia" w:ascii="楷体" w:hAnsi="楷体" w:eastAsia="楷体"/>
          <w:spacing w:val="-4"/>
          <w:sz w:val="32"/>
          <w:szCs w:val="32"/>
        </w:rPr>
        <w:t>设定情况</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adjustRightInd w:val="0"/>
        <w:snapToGrid w:val="0"/>
        <w:spacing w:line="560" w:lineRule="exact"/>
        <w:ind w:firstLine="624" w:firstLineChars="200"/>
        <w:rPr>
          <w:rFonts w:ascii="仿宋" w:hAnsi="仿宋" w:eastAsia="仿宋"/>
          <w:bCs/>
          <w:color w:val="FF0000"/>
          <w:spacing w:val="-4"/>
          <w:sz w:val="32"/>
          <w:szCs w:val="32"/>
        </w:rPr>
      </w:pPr>
      <w:r>
        <w:rPr>
          <w:rFonts w:hint="eastAsia" w:ascii="仿宋" w:hAnsi="仿宋" w:eastAsia="仿宋"/>
          <w:spacing w:val="-4"/>
          <w:sz w:val="32"/>
          <w:szCs w:val="32"/>
        </w:rPr>
        <w:t>项目资金保障检察院各项业务工作正常开展，忠实履行宪法和法律赋予的职责，充分发挥检察机关的职能作用，全面深化人民检察院司法改革，切实提高司法质量及公信力，促进社会公平正义，保障人民安居乐业。</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p>
    <w:p>
      <w:pPr>
        <w:adjustRightInd w:val="0"/>
        <w:snapToGrid w:val="0"/>
        <w:spacing w:line="560" w:lineRule="exact"/>
        <w:ind w:firstLine="624" w:firstLineChars="200"/>
        <w:rPr>
          <w:rFonts w:ascii="仿宋" w:hAnsi="仿宋" w:eastAsia="仿宋"/>
          <w:bCs/>
          <w:color w:val="FF0000"/>
          <w:spacing w:val="-4"/>
          <w:sz w:val="32"/>
          <w:szCs w:val="32"/>
        </w:rPr>
      </w:pPr>
      <w:r>
        <w:rPr>
          <w:rFonts w:hint="eastAsia" w:ascii="仿宋" w:hAnsi="仿宋" w:eastAsia="仿宋"/>
          <w:bCs/>
          <w:color w:val="000000"/>
          <w:spacing w:val="-4"/>
          <w:sz w:val="32"/>
          <w:szCs w:val="32"/>
        </w:rPr>
        <w:t>本项目性质为延续项目。</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3、项目用途及范围</w:t>
      </w:r>
    </w:p>
    <w:p>
      <w:pPr>
        <w:adjustRightInd w:val="0"/>
        <w:snapToGrid w:val="0"/>
        <w:spacing w:line="560" w:lineRule="exact"/>
        <w:ind w:firstLine="640" w:firstLineChars="200"/>
        <w:rPr>
          <w:rFonts w:ascii="仿宋" w:hAnsi="仿宋" w:eastAsia="仿宋"/>
          <w:bCs/>
          <w:color w:val="FF0000"/>
          <w:spacing w:val="-4"/>
          <w:sz w:val="32"/>
          <w:szCs w:val="32"/>
        </w:rPr>
      </w:pPr>
      <w:r>
        <w:rPr>
          <w:rFonts w:hint="eastAsia" w:ascii="仿宋_GB2312" w:hAnsi="仿宋_GB2312" w:eastAsia="仿宋_GB2312" w:cs="仿宋_GB2312"/>
          <w:sz w:val="32"/>
          <w:szCs w:val="32"/>
        </w:rPr>
        <w:t>中央政法转移支付资金业务经费主要用于保障人民检察院日常办案产生的相关费用及其他办案费用。</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二、项目资金使用及管理情况</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（一）项目资金安排落实、总投入等情况分析</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项目预算安排总额为132.92万元，其中：中央政法转移支出业务资金99.42万元，装备经费33.5万，</w:t>
      </w:r>
      <w:r>
        <w:rPr>
          <w:rFonts w:ascii="仿宋" w:hAnsi="仿宋" w:eastAsia="仿宋"/>
          <w:bCs/>
          <w:spacing w:val="-4"/>
          <w:sz w:val="32"/>
          <w:szCs w:val="32"/>
        </w:rPr>
        <w:t>201</w:t>
      </w:r>
      <w:r>
        <w:rPr>
          <w:rFonts w:hint="eastAsia" w:ascii="仿宋" w:hAnsi="仿宋" w:eastAsia="仿宋"/>
          <w:bCs/>
          <w:spacing w:val="-4"/>
          <w:sz w:val="32"/>
          <w:szCs w:val="32"/>
        </w:rPr>
        <w:t>8年实际收到预算资金132.92万元。</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（二）项目资金实际使用情况分析</w:t>
      </w:r>
    </w:p>
    <w:p>
      <w:pPr>
        <w:widowControl/>
        <w:shd w:val="clear" w:color="auto" w:fill="FFFFFF"/>
        <w:spacing w:before="100" w:after="100" w:line="540" w:lineRule="atLeast"/>
        <w:ind w:firstLine="640"/>
        <w:jc w:val="left"/>
        <w:rPr>
          <w:rFonts w:hint="eastAsia" w:ascii="微软雅黑" w:hAnsi="微软雅黑" w:cs="宋体"/>
          <w:color w:val="000000"/>
          <w:kern w:val="0"/>
          <w:sz w:val="19"/>
          <w:szCs w:val="19"/>
        </w:rPr>
      </w:pPr>
      <w:r>
        <w:rPr>
          <w:rFonts w:hint="eastAsia" w:ascii="仿宋" w:hAnsi="仿宋" w:eastAsia="仿宋" w:cs="宋体"/>
          <w:color w:val="000000"/>
          <w:kern w:val="0"/>
          <w:sz w:val="32"/>
          <w:szCs w:val="32"/>
        </w:rPr>
        <w:t>我院业务经费开支明细为：办公费11.5万元、差旅费29.92万元、培训费0.94万元、印刷费8.56万元、邮电费3.7万元、维修维护费4.8万元、公车运行维护费36万元、劳务费4万元。</w:t>
      </w:r>
    </w:p>
    <w:p>
      <w:pPr>
        <w:widowControl/>
        <w:shd w:val="clear" w:color="auto" w:fill="FFFFFF"/>
        <w:spacing w:before="100" w:after="100" w:line="540" w:lineRule="atLeast"/>
        <w:ind w:firstLine="640"/>
        <w:jc w:val="left"/>
        <w:rPr>
          <w:rFonts w:hint="eastAsia" w:ascii="微软雅黑" w:hAnsi="微软雅黑" w:cs="宋体"/>
          <w:color w:val="000000"/>
          <w:kern w:val="0"/>
          <w:sz w:val="19"/>
          <w:szCs w:val="19"/>
        </w:rPr>
      </w:pPr>
      <w:r>
        <w:rPr>
          <w:rFonts w:hint="eastAsia" w:ascii="仿宋" w:hAnsi="仿宋" w:eastAsia="仿宋" w:cs="宋体"/>
          <w:color w:val="000000"/>
          <w:kern w:val="0"/>
          <w:sz w:val="32"/>
          <w:szCs w:val="32"/>
        </w:rPr>
        <w:t>业务装备费严格按照装备配备标准、年度实施计划合理配置，按照政府采购程序开展。业务装备经费开支明细为：电脑打印机设备、办公家具及被装购置费33.5万元，我院对中央政法转移支付资金使用规范、合理，不存在挤占、挪用的情况。</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（三）项目资金管理情况分析</w:t>
      </w:r>
    </w:p>
    <w:p>
      <w:pPr>
        <w:adjustRightInd w:val="0"/>
        <w:snapToGrid w:val="0"/>
        <w:spacing w:line="560" w:lineRule="exact"/>
        <w:ind w:firstLine="624" w:firstLineChars="200"/>
        <w:rPr>
          <w:rStyle w:val="19"/>
          <w:rFonts w:ascii="仿宋" w:hAnsi="仿宋" w:eastAsia="仿宋"/>
          <w:b w:val="0"/>
          <w:bCs w:val="0"/>
          <w:color w:val="000000"/>
          <w:spacing w:val="-4"/>
          <w:sz w:val="32"/>
          <w:szCs w:val="32"/>
        </w:rPr>
      </w:pPr>
      <w:r>
        <w:rPr>
          <w:rFonts w:hint="eastAsia" w:ascii="仿宋" w:hAnsi="仿宋" w:eastAsia="仿宋"/>
          <w:bCs/>
          <w:color w:val="000000"/>
          <w:spacing w:val="-4"/>
          <w:sz w:val="32"/>
          <w:szCs w:val="32"/>
        </w:rPr>
        <w:t>本项目支出符合人民检察院补助资金相关财务管理制度，包括会计人员集中核算工作管理制度、财务收支审批制度、财务稽核制度、财务牵制制度、会计主管岗位职责等制度规定，资金的拨付有完整的审批程序和手续，不存在截留、挤占、挪用等情况。</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三、项目组织实施情况</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（一）项目组织情况分析</w:t>
      </w:r>
    </w:p>
    <w:p>
      <w:pPr>
        <w:adjustRightInd w:val="0"/>
        <w:snapToGrid w:val="0"/>
        <w:spacing w:line="560" w:lineRule="exact"/>
        <w:ind w:firstLine="640" w:firstLineChars="200"/>
        <w:rPr>
          <w:rStyle w:val="19"/>
          <w:rFonts w:ascii="仿宋" w:hAnsi="仿宋" w:eastAsia="仿宋"/>
          <w:b w:val="0"/>
          <w:spacing w:val="-4"/>
          <w:sz w:val="32"/>
          <w:szCs w:val="32"/>
        </w:rPr>
      </w:pPr>
      <w:r>
        <w:rPr>
          <w:rFonts w:hint="eastAsia" w:ascii="仿宋" w:hAnsi="仿宋" w:eastAsia="仿宋"/>
          <w:sz w:val="32"/>
          <w:szCs w:val="32"/>
        </w:rPr>
        <w:t>实施办公家具采购、电气设备采购、车棚建设、高清视频会议改造、电脑打印机采购、UPS设备采购等项目，</w:t>
      </w:r>
      <w:r>
        <w:rPr>
          <w:rStyle w:val="19"/>
          <w:rFonts w:hint="eastAsia" w:ascii="仿宋" w:hAnsi="仿宋" w:eastAsia="仿宋"/>
          <w:b w:val="0"/>
          <w:spacing w:val="-4"/>
          <w:sz w:val="32"/>
          <w:szCs w:val="32"/>
        </w:rPr>
        <w:t>为保证项目质量和成本控制，项目实施完成后，由本项目相关人员于2018年11月21日完成检查验收，检查验收合格后按合同规定支付款项。</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（二）项目管理情况分析</w:t>
      </w:r>
    </w:p>
    <w:p>
      <w:pPr>
        <w:widowControl/>
        <w:shd w:val="clear" w:color="auto" w:fill="FFFFFF"/>
        <w:spacing w:line="30" w:lineRule="atLeast"/>
        <w:ind w:firstLine="624" w:firstLineChars="200"/>
        <w:jc w:val="left"/>
        <w:rPr>
          <w:rFonts w:ascii="仿宋" w:hAnsi="仿宋" w:eastAsia="仿宋"/>
          <w:bCs/>
          <w:color w:val="000000"/>
          <w:spacing w:val="-4"/>
          <w:sz w:val="32"/>
          <w:szCs w:val="32"/>
        </w:rPr>
      </w:pPr>
      <w:r>
        <w:rPr>
          <w:rFonts w:hint="eastAsia" w:ascii="仿宋" w:hAnsi="仿宋" w:eastAsia="仿宋"/>
          <w:bCs/>
          <w:color w:val="000000"/>
          <w:spacing w:val="-4"/>
          <w:sz w:val="32"/>
          <w:szCs w:val="32"/>
        </w:rPr>
        <w:t>检察院资金管理工作在院党组领导下，由办公室具体负责管理。一是认真贯彻执行中央八项规定精神，严格按要求控制公务用车购置和运行维护、培训等经费支出，降低检察工作成本；二是资金使用按照《英吉沙县人民检察院财务管理制度》等规定执行，做到以制度管人管事管钱；三是严格预算管理，实行资金使用按权限审批、大额开支院党组集体研究，做到无预算不开支，减少开支随意性。</w:t>
      </w:r>
      <w:r>
        <w:rPr>
          <w:rFonts w:ascii="仿宋" w:hAnsi="仿宋" w:eastAsia="仿宋"/>
          <w:bCs/>
          <w:color w:val="000000"/>
          <w:spacing w:val="-4"/>
          <w:sz w:val="32"/>
          <w:szCs w:val="32"/>
        </w:rPr>
        <w:br w:type="textWrapping"/>
      </w:r>
      <w:r>
        <w:rPr>
          <w:rFonts w:ascii="仿宋" w:hAnsi="仿宋" w:eastAsia="仿宋"/>
          <w:bCs/>
          <w:color w:val="000000"/>
          <w:spacing w:val="-4"/>
          <w:sz w:val="32"/>
          <w:szCs w:val="32"/>
        </w:rPr>
        <w:t xml:space="preserve">    </w:t>
      </w:r>
      <w:r>
        <w:rPr>
          <w:rFonts w:hint="eastAsia" w:ascii="仿宋" w:hAnsi="仿宋" w:eastAsia="仿宋"/>
          <w:bCs/>
          <w:color w:val="000000"/>
          <w:spacing w:val="-4"/>
          <w:sz w:val="32"/>
          <w:szCs w:val="32"/>
        </w:rPr>
        <w:t>从财务支出审查情况看，财务管理制度总体较健全，会计核算真实、完整、及时，用款程序规范，项目各项支出基本合理，但内部控制制度有待加强。</w:t>
      </w:r>
    </w:p>
    <w:p>
      <w:pPr>
        <w:adjustRightInd w:val="0"/>
        <w:snapToGrid w:val="0"/>
        <w:spacing w:line="560" w:lineRule="exact"/>
        <w:ind w:firstLine="624" w:firstLineChars="200"/>
        <w:outlineLvl w:val="0"/>
        <w:rPr>
          <w:rStyle w:val="19"/>
          <w:rFonts w:ascii="黑体" w:hAnsi="黑体" w:eastAsia="黑体"/>
        </w:rPr>
      </w:pPr>
      <w:r>
        <w:rPr>
          <w:rStyle w:val="19"/>
          <w:rFonts w:hint="eastAsia" w:ascii="黑体" w:hAnsi="黑体" w:eastAsia="黑体"/>
          <w:b w:val="0"/>
          <w:spacing w:val="-4"/>
          <w:sz w:val="32"/>
          <w:szCs w:val="32"/>
        </w:rPr>
        <w:t>四、项目绩效情况</w:t>
      </w:r>
    </w:p>
    <w:p>
      <w:pPr>
        <w:adjustRightInd w:val="0"/>
        <w:snapToGrid w:val="0"/>
        <w:spacing w:line="560" w:lineRule="exact"/>
        <w:ind w:firstLine="627" w:firstLineChars="200"/>
        <w:outlineLvl w:val="0"/>
        <w:rPr>
          <w:rStyle w:val="19"/>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adjustRightInd w:val="0"/>
        <w:snapToGrid w:val="0"/>
        <w:spacing w:line="560" w:lineRule="exact"/>
        <w:ind w:firstLine="624" w:firstLineChars="200"/>
        <w:rPr>
          <w:rFonts w:ascii="仿宋" w:hAnsi="仿宋" w:eastAsia="仿宋"/>
          <w:bCs/>
          <w:color w:val="000000"/>
          <w:spacing w:val="-4"/>
          <w:sz w:val="32"/>
          <w:szCs w:val="32"/>
        </w:rPr>
      </w:pPr>
      <w:r>
        <w:rPr>
          <w:rFonts w:hint="eastAsia" w:ascii="仿宋" w:hAnsi="仿宋" w:eastAsia="仿宋"/>
          <w:bCs/>
          <w:color w:val="000000"/>
          <w:spacing w:val="-4"/>
          <w:sz w:val="32"/>
          <w:szCs w:val="32"/>
        </w:rPr>
        <w:t>本项目共设置一级指标4个，二级指标9个，三级指标14个，其中已完成三级指标14个，指标完成率为</w:t>
      </w:r>
      <w:r>
        <w:rPr>
          <w:rFonts w:ascii="仿宋" w:hAnsi="仿宋" w:eastAsia="仿宋"/>
          <w:bCs/>
          <w:color w:val="000000"/>
          <w:spacing w:val="-4"/>
          <w:sz w:val="32"/>
          <w:szCs w:val="32"/>
        </w:rPr>
        <w:t>100%</w:t>
      </w:r>
      <w:r>
        <w:rPr>
          <w:rFonts w:hint="eastAsia" w:ascii="仿宋" w:hAnsi="仿宋" w:eastAsia="仿宋"/>
          <w:bCs/>
          <w:color w:val="000000"/>
          <w:spacing w:val="-4"/>
          <w:sz w:val="32"/>
          <w:szCs w:val="32"/>
        </w:rPr>
        <w:t>。</w:t>
      </w:r>
    </w:p>
    <w:p>
      <w:pPr>
        <w:numPr>
          <w:ilvl w:val="0"/>
          <w:numId w:val="1"/>
        </w:numPr>
        <w:adjustRightInd w:val="0"/>
        <w:snapToGrid w:val="0"/>
        <w:spacing w:line="56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color w:val="000000"/>
          <w:spacing w:val="-4"/>
          <w:sz w:val="32"/>
          <w:szCs w:val="32"/>
        </w:rPr>
        <w:t>项目完成情况：保障人员人数</w:t>
      </w:r>
      <w:r>
        <w:rPr>
          <w:rStyle w:val="19"/>
          <w:rFonts w:hint="eastAsia" w:ascii="仿宋" w:hAnsi="仿宋" w:eastAsia="仿宋"/>
          <w:b w:val="0"/>
          <w:color w:val="000000"/>
          <w:spacing w:val="-4"/>
          <w:sz w:val="32"/>
          <w:szCs w:val="32"/>
          <w:lang w:val="en-US" w:eastAsia="zh-CN"/>
        </w:rPr>
        <w:t>35</w:t>
      </w:r>
      <w:r>
        <w:rPr>
          <w:rStyle w:val="19"/>
          <w:rFonts w:hint="eastAsia" w:ascii="仿宋" w:hAnsi="仿宋" w:eastAsia="仿宋"/>
          <w:b w:val="0"/>
          <w:color w:val="000000"/>
          <w:spacing w:val="-4"/>
          <w:sz w:val="32"/>
          <w:szCs w:val="32"/>
        </w:rPr>
        <w:t>人，</w:t>
      </w:r>
      <w:r>
        <w:rPr>
          <w:rStyle w:val="19"/>
          <w:rFonts w:hint="eastAsia" w:ascii="仿宋" w:hAnsi="仿宋" w:eastAsia="仿宋"/>
          <w:b w:val="0"/>
          <w:spacing w:val="-4"/>
          <w:sz w:val="32"/>
          <w:szCs w:val="32"/>
        </w:rPr>
        <w:t>保障车辆数</w:t>
      </w:r>
      <w:r>
        <w:rPr>
          <w:rStyle w:val="19"/>
          <w:rFonts w:ascii="仿宋" w:hAnsi="仿宋" w:eastAsia="仿宋"/>
          <w:b w:val="0"/>
          <w:spacing w:val="-4"/>
          <w:sz w:val="32"/>
          <w:szCs w:val="32"/>
        </w:rPr>
        <w:tab/>
      </w:r>
      <w:r>
        <w:rPr>
          <w:rStyle w:val="19"/>
          <w:rFonts w:hint="eastAsia" w:ascii="仿宋" w:hAnsi="仿宋" w:eastAsia="仿宋"/>
          <w:b w:val="0"/>
          <w:spacing w:val="-4"/>
          <w:sz w:val="32"/>
          <w:szCs w:val="32"/>
        </w:rPr>
        <w:t>9辆，办案效率</w:t>
      </w:r>
      <w:r>
        <w:rPr>
          <w:rStyle w:val="19"/>
          <w:rFonts w:ascii="仿宋" w:hAnsi="仿宋" w:eastAsia="仿宋"/>
          <w:b w:val="0"/>
          <w:spacing w:val="-4"/>
          <w:sz w:val="32"/>
          <w:szCs w:val="32"/>
        </w:rPr>
        <w:t>98%</w:t>
      </w:r>
      <w:r>
        <w:rPr>
          <w:rStyle w:val="19"/>
          <w:rFonts w:hint="eastAsia" w:ascii="仿宋" w:hAnsi="仿宋" w:eastAsia="仿宋"/>
          <w:b w:val="0"/>
          <w:spacing w:val="-4"/>
          <w:sz w:val="32"/>
          <w:szCs w:val="32"/>
        </w:rPr>
        <w:t>，项目保障及时率</w:t>
      </w:r>
      <w:r>
        <w:rPr>
          <w:rStyle w:val="19"/>
          <w:rFonts w:ascii="仿宋" w:hAnsi="仿宋" w:eastAsia="仿宋"/>
          <w:b w:val="0"/>
          <w:spacing w:val="-4"/>
          <w:sz w:val="32"/>
          <w:szCs w:val="32"/>
        </w:rPr>
        <w:t>100%</w:t>
      </w:r>
      <w:r>
        <w:rPr>
          <w:rStyle w:val="19"/>
          <w:rFonts w:hint="eastAsia" w:ascii="仿宋" w:hAnsi="仿宋" w:eastAsia="仿宋"/>
          <w:b w:val="0"/>
          <w:spacing w:val="-4"/>
          <w:sz w:val="32"/>
          <w:szCs w:val="32"/>
        </w:rPr>
        <w:t>，行政效能能够按相应政务服务工作要求。</w:t>
      </w:r>
    </w:p>
    <w:p>
      <w:pPr>
        <w:adjustRightInd w:val="0"/>
        <w:snapToGrid w:val="0"/>
        <w:spacing w:line="560" w:lineRule="exact"/>
        <w:ind w:firstLine="624" w:firstLineChars="200"/>
        <w:rPr>
          <w:rStyle w:val="19"/>
          <w:rFonts w:ascii="仿宋" w:hAnsi="仿宋" w:eastAsia="仿宋"/>
          <w:b w:val="0"/>
          <w:spacing w:val="-4"/>
          <w:sz w:val="32"/>
          <w:szCs w:val="32"/>
        </w:rPr>
      </w:pPr>
      <w:r>
        <w:rPr>
          <w:rStyle w:val="19"/>
          <w:rFonts w:ascii="仿宋" w:hAnsi="仿宋" w:eastAsia="仿宋"/>
          <w:b w:val="0"/>
          <w:spacing w:val="-4"/>
          <w:sz w:val="32"/>
          <w:szCs w:val="32"/>
        </w:rPr>
        <w:t>2</w:t>
      </w:r>
      <w:r>
        <w:rPr>
          <w:rStyle w:val="19"/>
          <w:rFonts w:hint="eastAsia" w:ascii="仿宋" w:hAnsi="仿宋" w:eastAsia="仿宋"/>
          <w:b w:val="0"/>
          <w:spacing w:val="-4"/>
          <w:sz w:val="32"/>
          <w:szCs w:val="32"/>
        </w:rPr>
        <w:t>、项目效益情况：社会服务能力进一步提升。持续为群众提供政府性公共服务体现，政策导向，长期保障工作平稳进。</w:t>
      </w:r>
    </w:p>
    <w:p>
      <w:pPr>
        <w:adjustRightInd w:val="0"/>
        <w:snapToGrid w:val="0"/>
        <w:spacing w:line="560" w:lineRule="exact"/>
        <w:ind w:firstLine="624" w:firstLineChars="200"/>
        <w:rPr>
          <w:rFonts w:ascii="仿宋" w:hAnsi="仿宋" w:eastAsia="仿宋"/>
          <w:bCs/>
          <w:color w:val="FF0000"/>
          <w:spacing w:val="-4"/>
          <w:sz w:val="32"/>
          <w:szCs w:val="32"/>
        </w:rPr>
      </w:pPr>
      <w:r>
        <w:rPr>
          <w:rStyle w:val="19"/>
          <w:rFonts w:ascii="仿宋" w:hAnsi="仿宋" w:eastAsia="仿宋"/>
          <w:b w:val="0"/>
          <w:spacing w:val="-4"/>
          <w:sz w:val="32"/>
          <w:szCs w:val="32"/>
        </w:rPr>
        <w:t>3</w:t>
      </w:r>
      <w:r>
        <w:rPr>
          <w:rStyle w:val="19"/>
          <w:rFonts w:hint="eastAsia" w:ascii="仿宋" w:hAnsi="仿宋" w:eastAsia="仿宋"/>
          <w:b w:val="0"/>
          <w:spacing w:val="-4"/>
          <w:sz w:val="32"/>
          <w:szCs w:val="32"/>
        </w:rPr>
        <w:t>、满意度情况：受益对象满意度为</w:t>
      </w:r>
      <w:r>
        <w:rPr>
          <w:rStyle w:val="19"/>
          <w:rFonts w:ascii="仿宋" w:hAnsi="仿宋" w:eastAsia="仿宋"/>
          <w:b w:val="0"/>
          <w:spacing w:val="-4"/>
          <w:sz w:val="32"/>
          <w:szCs w:val="32"/>
        </w:rPr>
        <w:t>97%</w:t>
      </w:r>
      <w:r>
        <w:rPr>
          <w:rStyle w:val="19"/>
          <w:rFonts w:ascii="仿宋" w:hAnsi="仿宋" w:eastAsia="仿宋"/>
          <w:b w:val="0"/>
          <w:spacing w:val="-4"/>
          <w:sz w:val="32"/>
          <w:szCs w:val="32"/>
        </w:rPr>
        <w:tab/>
      </w:r>
      <w:r>
        <w:rPr>
          <w:rStyle w:val="19"/>
          <w:rFonts w:hint="eastAsia" w:ascii="仿宋" w:hAnsi="仿宋" w:eastAsia="仿宋"/>
          <w:b w:val="0"/>
          <w:spacing w:val="-4"/>
          <w:sz w:val="32"/>
          <w:szCs w:val="32"/>
        </w:rPr>
        <w:t>。</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不存在未完成情况</w:t>
      </w:r>
      <w:r>
        <w:rPr>
          <w:rFonts w:ascii="仿宋" w:hAnsi="仿宋" w:eastAsia="仿宋"/>
          <w:spacing w:val="-4"/>
          <w:sz w:val="32"/>
          <w:szCs w:val="32"/>
        </w:rPr>
        <w:t>:</w:t>
      </w:r>
      <w:r>
        <w:rPr>
          <w:rFonts w:hint="eastAsia" w:ascii="仿宋" w:hAnsi="仿宋" w:eastAsia="仿宋"/>
          <w:spacing w:val="-4"/>
          <w:sz w:val="32"/>
          <w:szCs w:val="32"/>
        </w:rPr>
        <w:t>2018年本项目绩效目标全部达成。</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五、其他需要说明的问题</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（一）后续工作计划</w:t>
      </w:r>
    </w:p>
    <w:p>
      <w:pPr>
        <w:adjustRightInd w:val="0"/>
        <w:snapToGrid w:val="0"/>
        <w:spacing w:line="560" w:lineRule="exact"/>
        <w:ind w:firstLine="624" w:firstLineChars="200"/>
        <w:rPr>
          <w:rFonts w:ascii="楷体" w:hAnsi="楷体" w:eastAsia="楷体"/>
          <w:b/>
          <w:spacing w:val="-4"/>
          <w:sz w:val="32"/>
          <w:szCs w:val="32"/>
        </w:rPr>
      </w:pPr>
      <w:r>
        <w:rPr>
          <w:rFonts w:ascii="仿宋" w:hAnsi="仿宋" w:eastAsia="仿宋"/>
          <w:bCs/>
          <w:color w:val="000000"/>
          <w:spacing w:val="-4"/>
          <w:sz w:val="32"/>
          <w:szCs w:val="32"/>
        </w:rPr>
        <w:t>201</w:t>
      </w:r>
      <w:r>
        <w:rPr>
          <w:rFonts w:hint="eastAsia" w:ascii="仿宋" w:hAnsi="仿宋" w:eastAsia="仿宋"/>
          <w:bCs/>
          <w:color w:val="000000"/>
          <w:spacing w:val="-4"/>
          <w:sz w:val="32"/>
          <w:szCs w:val="32"/>
        </w:rPr>
        <w:t>8年，我院认真按照上级人民检察院及县财政局的要求开展了贯穿项目管理和预算执行全过程的预算绩效管理工作，结合部门年度预算编制同步编报绩效目标，开展绩效监控，对财政支出绩效和绩效管理工作进行自评，形成了较为完整的预算绩效管理体系。制定的绩效目标、自评指标充分体现检察工作特点，实现目标科学合理，评价客观有效。</w:t>
      </w:r>
      <w:r>
        <w:rPr>
          <w:rFonts w:ascii="仿宋" w:hAnsi="仿宋" w:eastAsia="仿宋"/>
          <w:bCs/>
          <w:color w:val="000000"/>
          <w:spacing w:val="-4"/>
          <w:sz w:val="32"/>
          <w:szCs w:val="32"/>
        </w:rPr>
        <w:t>201</w:t>
      </w:r>
      <w:r>
        <w:rPr>
          <w:rFonts w:hint="eastAsia" w:ascii="仿宋" w:hAnsi="仿宋" w:eastAsia="仿宋"/>
          <w:bCs/>
          <w:color w:val="000000"/>
          <w:spacing w:val="-4"/>
          <w:sz w:val="32"/>
          <w:szCs w:val="32"/>
        </w:rPr>
        <w:t>8年度的绩效管理工作情况除了在单位内部公开，还专项报告上级人民检察院，在编制部门预算工作中，也结合绩效管理情况，提出相关意见和建议，促进预算编制更加科学合理，在绩效结果公开和应用方面进行了有益的探索。</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pStyle w:val="16"/>
        <w:widowControl/>
        <w:shd w:val="clear" w:color="auto" w:fill="FFFFFF"/>
        <w:spacing w:before="0" w:beforeAutospacing="0" w:after="0" w:afterAutospacing="0"/>
        <w:ind w:firstLine="624" w:firstLineChars="200"/>
        <w:jc w:val="both"/>
        <w:rPr>
          <w:rFonts w:ascii="仿宋" w:hAnsi="仿宋" w:eastAsia="仿宋"/>
          <w:bCs/>
          <w:spacing w:val="-4"/>
          <w:kern w:val="2"/>
          <w:sz w:val="32"/>
          <w:szCs w:val="32"/>
        </w:rPr>
      </w:pPr>
      <w:r>
        <w:rPr>
          <w:rFonts w:hint="eastAsia" w:ascii="仿宋" w:hAnsi="仿宋" w:eastAsia="仿宋"/>
          <w:bCs/>
          <w:spacing w:val="-4"/>
          <w:kern w:val="2"/>
          <w:sz w:val="32"/>
          <w:szCs w:val="32"/>
        </w:rPr>
        <w:t>按国家政策法规规定和本部门实际情况，进一步建立健全财务基础管理制度和约束机制，依法、有效地使用财政资金，提高财政资金使用效率，在完成部门职能目标中合理分配人、财、物，使之达到较高的工作效率和水平，适时公开相关信息。</w:t>
      </w:r>
    </w:p>
    <w:p>
      <w:pPr>
        <w:pStyle w:val="16"/>
        <w:widowControl/>
        <w:shd w:val="clear" w:color="auto" w:fill="FFFFFF"/>
        <w:spacing w:before="0" w:beforeAutospacing="0" w:after="0" w:afterAutospacing="0"/>
        <w:ind w:firstLine="624" w:firstLineChars="200"/>
        <w:jc w:val="both"/>
        <w:rPr>
          <w:rFonts w:ascii="仿宋_GB2312" w:hAnsi="仿宋_GB2312" w:eastAsia="仿宋_GB2312" w:cs="仿宋_GB2312"/>
          <w:sz w:val="32"/>
          <w:szCs w:val="32"/>
        </w:rPr>
      </w:pPr>
      <w:r>
        <w:rPr>
          <w:rFonts w:hint="eastAsia" w:ascii="仿宋" w:hAnsi="仿宋" w:eastAsia="仿宋"/>
          <w:bCs/>
          <w:spacing w:val="-4"/>
          <w:kern w:val="2"/>
          <w:sz w:val="32"/>
          <w:szCs w:val="32"/>
        </w:rPr>
        <w:t>建议：扩大上级政法业务经费开支使用范围，发挥资金的最大效能。</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（三）其他</w:t>
      </w:r>
    </w:p>
    <w:p>
      <w:pPr>
        <w:adjustRightInd w:val="0"/>
        <w:snapToGrid w:val="0"/>
        <w:spacing w:line="560" w:lineRule="exact"/>
        <w:ind w:firstLine="624" w:firstLineChars="200"/>
        <w:rPr>
          <w:rFonts w:ascii="仿宋" w:hAnsi="仿宋" w:eastAsia="仿宋"/>
          <w:color w:val="FF0000"/>
          <w:spacing w:val="-4"/>
          <w:sz w:val="32"/>
          <w:szCs w:val="32"/>
        </w:rPr>
      </w:pPr>
      <w:r>
        <w:rPr>
          <w:rFonts w:hint="eastAsia" w:ascii="仿宋" w:hAnsi="仿宋" w:eastAsia="仿宋"/>
          <w:color w:val="000000"/>
          <w:spacing w:val="-4"/>
          <w:sz w:val="32"/>
          <w:szCs w:val="32"/>
        </w:rPr>
        <w:t>无其他说明内容。</w:t>
      </w:r>
    </w:p>
    <w:p>
      <w:pPr>
        <w:adjustRightInd w:val="0"/>
        <w:snapToGrid w:val="0"/>
        <w:spacing w:line="560" w:lineRule="exact"/>
        <w:ind w:firstLine="624" w:firstLineChars="200"/>
        <w:outlineLvl w:val="0"/>
        <w:rPr>
          <w:rFonts w:ascii="黑体" w:hAnsi="黑体" w:eastAsia="黑体"/>
          <w:bCs/>
          <w:spacing w:val="-4"/>
          <w:sz w:val="32"/>
          <w:szCs w:val="32"/>
        </w:rPr>
      </w:pPr>
      <w:r>
        <w:rPr>
          <w:rStyle w:val="19"/>
          <w:rFonts w:hint="eastAsia" w:ascii="黑体" w:hAnsi="黑体" w:eastAsia="黑体"/>
          <w:b w:val="0"/>
          <w:spacing w:val="-4"/>
          <w:sz w:val="32"/>
          <w:szCs w:val="32"/>
        </w:rPr>
        <w:t>六、项目评价工作情况</w:t>
      </w:r>
    </w:p>
    <w:p>
      <w:pPr>
        <w:adjustRightInd w:val="0"/>
        <w:snapToGrid w:val="0"/>
        <w:spacing w:line="560" w:lineRule="exact"/>
        <w:ind w:firstLine="624" w:firstLineChars="200"/>
        <w:rPr>
          <w:rFonts w:ascii="仿宋" w:hAnsi="仿宋" w:eastAsia="仿宋"/>
          <w:color w:val="FF0000"/>
          <w:spacing w:val="-4"/>
          <w:sz w:val="32"/>
          <w:szCs w:val="32"/>
        </w:rPr>
      </w:pPr>
      <w:r>
        <w:rPr>
          <w:rFonts w:hint="eastAsia" w:ascii="仿宋" w:hAnsi="仿宋" w:eastAsia="仿宋"/>
          <w:spacing w:val="-4"/>
          <w:sz w:val="32"/>
          <w:szCs w:val="32"/>
        </w:rPr>
        <w:t>本次评价通过文件研读、实地调研、数据分析等方式，全面了解英吉沙县人民检察院基本支出的使用效率和效果，项目支出管理过程是否规范，是否完成了预期绩效目标等。同时，通过开展自我评价来总结经验和教训，为顺利持续实施喀什地区中央政法转移支付资金项目支出的工作奠定基础。</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七、附表</w:t>
      </w:r>
    </w:p>
    <w:p>
      <w:pPr>
        <w:adjustRightInd w:val="0"/>
        <w:snapToGrid w:val="0"/>
        <w:spacing w:line="56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《项目支出绩效目标自评表》</w:t>
      </w:r>
    </w:p>
    <w:p>
      <w:pPr>
        <w:adjustRightInd w:val="0"/>
        <w:snapToGrid w:val="0"/>
        <w:spacing w:line="560" w:lineRule="exact"/>
        <w:ind w:firstLine="627" w:firstLineChars="200"/>
        <w:rPr>
          <w:rStyle w:val="19"/>
          <w:rFonts w:ascii="仿宋" w:hAnsi="仿宋" w:eastAsia="仿宋"/>
          <w:spacing w:val="-4"/>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华文中宋">
    <w:altName w:val="宋体"/>
    <w:panose1 w:val="00000000000000000000"/>
    <w:charset w:val="86"/>
    <w:family w:val="auto"/>
    <w:pitch w:val="default"/>
    <w:sig w:usb0="00000000" w:usb1="00000000" w:usb2="00000010" w:usb3="00000000" w:csb0="0004009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roman"/>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27892034"/>
      <w:docPartObj>
        <w:docPartGallery w:val="autotext"/>
      </w:docPartObj>
    </w:sdtPr>
    <w:sdtContent>
      <w:p>
        <w:pPr>
          <w:pStyle w:val="13"/>
          <w:jc w:val="center"/>
        </w:pPr>
        <w:r>
          <w:fldChar w:fldCharType="begin"/>
        </w:r>
        <w:r>
          <w:instrText xml:space="preserve">PAGE   \* MERGEFORMAT</w:instrText>
        </w:r>
        <w:r>
          <w:fldChar w:fldCharType="separate"/>
        </w:r>
        <w:r>
          <w:rPr>
            <w:lang w:val="zh-CN"/>
          </w:rPr>
          <w:t>1</w:t>
        </w:r>
        <w:r>
          <w:fldChar w:fldCharType="end"/>
        </w:r>
      </w:p>
    </w:sdtContent>
  </w:sdt>
  <w:p>
    <w:pPr>
      <w:pStyle w:val="1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56EE4D"/>
    <w:multiLevelType w:val="singleLevel"/>
    <w:tmpl w:val="5456EE4D"/>
    <w:lvl w:ilvl="0" w:tentative="0">
      <w:start w:val="1"/>
      <w:numFmt w:val="decimal"/>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10E7C"/>
    <w:rsid w:val="00031892"/>
    <w:rsid w:val="000E16AA"/>
    <w:rsid w:val="000F0318"/>
    <w:rsid w:val="0012208E"/>
    <w:rsid w:val="00135256"/>
    <w:rsid w:val="001602A4"/>
    <w:rsid w:val="001A4E1F"/>
    <w:rsid w:val="001A57B9"/>
    <w:rsid w:val="001B11A6"/>
    <w:rsid w:val="001C3847"/>
    <w:rsid w:val="001F3031"/>
    <w:rsid w:val="002070E9"/>
    <w:rsid w:val="00210A26"/>
    <w:rsid w:val="0023567B"/>
    <w:rsid w:val="002738FB"/>
    <w:rsid w:val="002A2532"/>
    <w:rsid w:val="002E2AD5"/>
    <w:rsid w:val="00365250"/>
    <w:rsid w:val="0036624C"/>
    <w:rsid w:val="003703E1"/>
    <w:rsid w:val="00385849"/>
    <w:rsid w:val="003D0FF8"/>
    <w:rsid w:val="00410A4B"/>
    <w:rsid w:val="00472BE0"/>
    <w:rsid w:val="004C1946"/>
    <w:rsid w:val="0050167F"/>
    <w:rsid w:val="00514506"/>
    <w:rsid w:val="005162F1"/>
    <w:rsid w:val="00530B23"/>
    <w:rsid w:val="00535153"/>
    <w:rsid w:val="00575CFE"/>
    <w:rsid w:val="00592D09"/>
    <w:rsid w:val="00675D58"/>
    <w:rsid w:val="006A20D0"/>
    <w:rsid w:val="006A775C"/>
    <w:rsid w:val="006B5975"/>
    <w:rsid w:val="006F2E6D"/>
    <w:rsid w:val="00712DA8"/>
    <w:rsid w:val="007218B8"/>
    <w:rsid w:val="00785FDE"/>
    <w:rsid w:val="007A0351"/>
    <w:rsid w:val="007A14BC"/>
    <w:rsid w:val="007C1025"/>
    <w:rsid w:val="007E6845"/>
    <w:rsid w:val="007F5F8A"/>
    <w:rsid w:val="00826CA1"/>
    <w:rsid w:val="00835B7F"/>
    <w:rsid w:val="00855E3A"/>
    <w:rsid w:val="00922CB9"/>
    <w:rsid w:val="00976508"/>
    <w:rsid w:val="009A0729"/>
    <w:rsid w:val="009B526F"/>
    <w:rsid w:val="009C1AFD"/>
    <w:rsid w:val="00A26421"/>
    <w:rsid w:val="00A4293B"/>
    <w:rsid w:val="00A57765"/>
    <w:rsid w:val="00A83BD5"/>
    <w:rsid w:val="00B06CA5"/>
    <w:rsid w:val="00B41F61"/>
    <w:rsid w:val="00B55332"/>
    <w:rsid w:val="00B6565A"/>
    <w:rsid w:val="00B86E8C"/>
    <w:rsid w:val="00BC3AB7"/>
    <w:rsid w:val="00BE1A00"/>
    <w:rsid w:val="00C22CF0"/>
    <w:rsid w:val="00C242BA"/>
    <w:rsid w:val="00C56C72"/>
    <w:rsid w:val="00CA6457"/>
    <w:rsid w:val="00CA7F6D"/>
    <w:rsid w:val="00CB0B2C"/>
    <w:rsid w:val="00CC6E4D"/>
    <w:rsid w:val="00D17F2E"/>
    <w:rsid w:val="00D46194"/>
    <w:rsid w:val="00DA6AC1"/>
    <w:rsid w:val="00E01293"/>
    <w:rsid w:val="00E077C3"/>
    <w:rsid w:val="00E1252E"/>
    <w:rsid w:val="00E769FE"/>
    <w:rsid w:val="00E914C5"/>
    <w:rsid w:val="00EA2CBE"/>
    <w:rsid w:val="00EB55CF"/>
    <w:rsid w:val="00F32FEE"/>
    <w:rsid w:val="2C0318C0"/>
    <w:rsid w:val="7F4868BC"/>
  </w:rsids>
  <m:mathPr>
    <m:mathFont m:val="Cambria Math"/>
    <m:brkBin m:val="before"/>
    <m:brkBinSub m:val="--"/>
    <m:smallFrac m:val="1"/>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2"/>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3"/>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2">
    <w:name w:val="heading 3"/>
    <w:basedOn w:val="1"/>
    <w:next w:val="1"/>
    <w:link w:val="24"/>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5"/>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6"/>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7"/>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8"/>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9"/>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30"/>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21">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47"/>
    <w:semiHidden/>
    <w:unhideWhenUsed/>
    <w:qFormat/>
    <w:uiPriority w:val="99"/>
    <w:rPr>
      <w:rFonts w:ascii="宋体"/>
      <w:sz w:val="18"/>
      <w:szCs w:val="18"/>
    </w:rPr>
  </w:style>
  <w:style w:type="paragraph" w:styleId="12">
    <w:name w:val="Balloon Text"/>
    <w:basedOn w:val="1"/>
    <w:link w:val="48"/>
    <w:semiHidden/>
    <w:unhideWhenUsed/>
    <w:qFormat/>
    <w:uiPriority w:val="99"/>
    <w:rPr>
      <w:sz w:val="18"/>
      <w:szCs w:val="18"/>
    </w:rPr>
  </w:style>
  <w:style w:type="paragraph" w:styleId="13">
    <w:name w:val="footer"/>
    <w:basedOn w:val="1"/>
    <w:link w:val="46"/>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5"/>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2"/>
    <w:qFormat/>
    <w:uiPriority w:val="11"/>
    <w:pPr>
      <w:widowControl/>
      <w:spacing w:after="60"/>
      <w:jc w:val="center"/>
      <w:outlineLvl w:val="1"/>
    </w:pPr>
    <w:rPr>
      <w:rFonts w:asciiTheme="majorHAnsi" w:hAnsiTheme="majorHAnsi" w:eastAsiaTheme="majorEastAsia"/>
      <w:kern w:val="0"/>
      <w:sz w:val="24"/>
    </w:rPr>
  </w:style>
  <w:style w:type="paragraph" w:styleId="16">
    <w:name w:val="Normal (Web)"/>
    <w:basedOn w:val="1"/>
    <w:qFormat/>
    <w:uiPriority w:val="99"/>
    <w:pPr>
      <w:spacing w:before="100" w:beforeAutospacing="1" w:after="100" w:afterAutospacing="1"/>
      <w:jc w:val="left"/>
    </w:pPr>
    <w:rPr>
      <w:kern w:val="0"/>
      <w:sz w:val="24"/>
    </w:rPr>
  </w:style>
  <w:style w:type="paragraph" w:styleId="17">
    <w:name w:val="Title"/>
    <w:basedOn w:val="1"/>
    <w:next w:val="1"/>
    <w:link w:val="31"/>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99"/>
    <w:rPr>
      <w:b/>
      <w:bCs/>
    </w:rPr>
  </w:style>
  <w:style w:type="character" w:styleId="20">
    <w:name w:val="Emphasis"/>
    <w:basedOn w:val="18"/>
    <w:qFormat/>
    <w:uiPriority w:val="20"/>
    <w:rPr>
      <w:rFonts w:asciiTheme="minorHAnsi" w:hAnsiTheme="minorHAnsi"/>
      <w:b/>
      <w:i/>
      <w:iCs/>
    </w:rPr>
  </w:style>
  <w:style w:type="character" w:customStyle="1" w:styleId="22">
    <w:name w:val="标题 1 Char"/>
    <w:basedOn w:val="18"/>
    <w:link w:val="3"/>
    <w:qFormat/>
    <w:uiPriority w:val="9"/>
    <w:rPr>
      <w:rFonts w:asciiTheme="majorHAnsi" w:hAnsiTheme="majorHAnsi" w:eastAsiaTheme="majorEastAsia"/>
      <w:b/>
      <w:bCs/>
      <w:kern w:val="32"/>
      <w:sz w:val="32"/>
      <w:szCs w:val="32"/>
    </w:rPr>
  </w:style>
  <w:style w:type="character" w:customStyle="1" w:styleId="23">
    <w:name w:val="标题 2 Char"/>
    <w:basedOn w:val="18"/>
    <w:link w:val="4"/>
    <w:semiHidden/>
    <w:qFormat/>
    <w:uiPriority w:val="9"/>
    <w:rPr>
      <w:rFonts w:asciiTheme="majorHAnsi" w:hAnsiTheme="majorHAnsi" w:eastAsiaTheme="majorEastAsia"/>
      <w:b/>
      <w:bCs/>
      <w:i/>
      <w:iCs/>
      <w:sz w:val="28"/>
      <w:szCs w:val="28"/>
    </w:rPr>
  </w:style>
  <w:style w:type="character" w:customStyle="1" w:styleId="24">
    <w:name w:val="标题 3 Char"/>
    <w:basedOn w:val="18"/>
    <w:link w:val="2"/>
    <w:semiHidden/>
    <w:qFormat/>
    <w:uiPriority w:val="9"/>
    <w:rPr>
      <w:rFonts w:asciiTheme="majorHAnsi" w:hAnsiTheme="majorHAnsi" w:eastAsiaTheme="majorEastAsia"/>
      <w:b/>
      <w:bCs/>
      <w:sz w:val="26"/>
      <w:szCs w:val="26"/>
    </w:rPr>
  </w:style>
  <w:style w:type="character" w:customStyle="1" w:styleId="25">
    <w:name w:val="标题 4 Char"/>
    <w:basedOn w:val="18"/>
    <w:link w:val="5"/>
    <w:semiHidden/>
    <w:qFormat/>
    <w:uiPriority w:val="9"/>
    <w:rPr>
      <w:b/>
      <w:bCs/>
      <w:sz w:val="28"/>
      <w:szCs w:val="28"/>
    </w:rPr>
  </w:style>
  <w:style w:type="character" w:customStyle="1" w:styleId="26">
    <w:name w:val="标题 5 Char"/>
    <w:basedOn w:val="18"/>
    <w:link w:val="6"/>
    <w:semiHidden/>
    <w:qFormat/>
    <w:uiPriority w:val="9"/>
    <w:rPr>
      <w:b/>
      <w:bCs/>
      <w:i/>
      <w:iCs/>
      <w:sz w:val="26"/>
      <w:szCs w:val="26"/>
    </w:rPr>
  </w:style>
  <w:style w:type="character" w:customStyle="1" w:styleId="27">
    <w:name w:val="标题 6 Char"/>
    <w:basedOn w:val="18"/>
    <w:link w:val="7"/>
    <w:semiHidden/>
    <w:qFormat/>
    <w:uiPriority w:val="9"/>
    <w:rPr>
      <w:b/>
      <w:bCs/>
    </w:rPr>
  </w:style>
  <w:style w:type="character" w:customStyle="1" w:styleId="28">
    <w:name w:val="标题 7 Char"/>
    <w:basedOn w:val="18"/>
    <w:link w:val="8"/>
    <w:semiHidden/>
    <w:qFormat/>
    <w:uiPriority w:val="9"/>
    <w:rPr>
      <w:sz w:val="24"/>
      <w:szCs w:val="24"/>
    </w:rPr>
  </w:style>
  <w:style w:type="character" w:customStyle="1" w:styleId="29">
    <w:name w:val="标题 8 Char"/>
    <w:basedOn w:val="18"/>
    <w:link w:val="9"/>
    <w:semiHidden/>
    <w:qFormat/>
    <w:uiPriority w:val="9"/>
    <w:rPr>
      <w:i/>
      <w:iCs/>
      <w:sz w:val="24"/>
      <w:szCs w:val="24"/>
    </w:rPr>
  </w:style>
  <w:style w:type="character" w:customStyle="1" w:styleId="30">
    <w:name w:val="标题 9 Char"/>
    <w:basedOn w:val="18"/>
    <w:link w:val="10"/>
    <w:semiHidden/>
    <w:qFormat/>
    <w:uiPriority w:val="9"/>
    <w:rPr>
      <w:rFonts w:asciiTheme="majorHAnsi" w:hAnsiTheme="majorHAnsi" w:eastAsiaTheme="majorEastAsia"/>
    </w:rPr>
  </w:style>
  <w:style w:type="character" w:customStyle="1" w:styleId="31">
    <w:name w:val="标题 Char"/>
    <w:basedOn w:val="18"/>
    <w:link w:val="17"/>
    <w:qFormat/>
    <w:uiPriority w:val="10"/>
    <w:rPr>
      <w:rFonts w:asciiTheme="majorHAnsi" w:hAnsiTheme="majorHAnsi" w:eastAsiaTheme="majorEastAsia"/>
      <w:b/>
      <w:bCs/>
      <w:kern w:val="28"/>
      <w:sz w:val="32"/>
      <w:szCs w:val="32"/>
    </w:rPr>
  </w:style>
  <w:style w:type="character" w:customStyle="1" w:styleId="32">
    <w:name w:val="副标题 Char"/>
    <w:basedOn w:val="18"/>
    <w:link w:val="15"/>
    <w:qFormat/>
    <w:uiPriority w:val="11"/>
    <w:rPr>
      <w:rFonts w:asciiTheme="majorHAnsi" w:hAnsiTheme="majorHAnsi" w:eastAsiaTheme="majorEastAsia"/>
      <w:sz w:val="24"/>
      <w:szCs w:val="24"/>
    </w:rPr>
  </w:style>
  <w:style w:type="paragraph" w:styleId="33">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4">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5">
    <w:name w:val="Quote"/>
    <w:basedOn w:val="1"/>
    <w:next w:val="1"/>
    <w:link w:val="36"/>
    <w:qFormat/>
    <w:uiPriority w:val="29"/>
    <w:pPr>
      <w:widowControl/>
      <w:jc w:val="left"/>
    </w:pPr>
    <w:rPr>
      <w:rFonts w:asciiTheme="minorHAnsi" w:hAnsiTheme="minorHAnsi" w:eastAsiaTheme="minorEastAsia"/>
      <w:i/>
      <w:kern w:val="0"/>
      <w:sz w:val="24"/>
    </w:rPr>
  </w:style>
  <w:style w:type="character" w:customStyle="1" w:styleId="36">
    <w:name w:val="引用 Char"/>
    <w:basedOn w:val="18"/>
    <w:link w:val="35"/>
    <w:qFormat/>
    <w:uiPriority w:val="29"/>
    <w:rPr>
      <w:i/>
      <w:sz w:val="24"/>
      <w:szCs w:val="24"/>
    </w:rPr>
  </w:style>
  <w:style w:type="paragraph" w:styleId="37">
    <w:name w:val="Intense Quote"/>
    <w:basedOn w:val="1"/>
    <w:next w:val="1"/>
    <w:link w:val="38"/>
    <w:qFormat/>
    <w:uiPriority w:val="30"/>
    <w:pPr>
      <w:widowControl/>
      <w:ind w:left="720" w:right="720"/>
      <w:jc w:val="left"/>
    </w:pPr>
    <w:rPr>
      <w:rFonts w:asciiTheme="minorHAnsi" w:hAnsiTheme="minorHAnsi" w:eastAsiaTheme="minorEastAsia"/>
      <w:b/>
      <w:i/>
      <w:kern w:val="0"/>
      <w:sz w:val="24"/>
      <w:szCs w:val="22"/>
    </w:rPr>
  </w:style>
  <w:style w:type="character" w:customStyle="1" w:styleId="38">
    <w:name w:val="明显引用 Char"/>
    <w:basedOn w:val="18"/>
    <w:link w:val="37"/>
    <w:qFormat/>
    <w:uiPriority w:val="30"/>
    <w:rPr>
      <w:b/>
      <w:i/>
      <w:sz w:val="24"/>
    </w:rPr>
  </w:style>
  <w:style w:type="character" w:customStyle="1" w:styleId="39">
    <w:name w:val="Subtle Emphasis"/>
    <w:qFormat/>
    <w:uiPriority w:val="19"/>
    <w:rPr>
      <w:i/>
      <w:color w:val="595959" w:themeColor="text1" w:themeTint="A5"/>
    </w:rPr>
  </w:style>
  <w:style w:type="character" w:customStyle="1" w:styleId="40">
    <w:name w:val="Intense Emphasis"/>
    <w:basedOn w:val="18"/>
    <w:qFormat/>
    <w:uiPriority w:val="21"/>
    <w:rPr>
      <w:b/>
      <w:i/>
      <w:sz w:val="24"/>
      <w:szCs w:val="24"/>
      <w:u w:val="single"/>
    </w:rPr>
  </w:style>
  <w:style w:type="character" w:customStyle="1" w:styleId="41">
    <w:name w:val="Subtle Reference"/>
    <w:basedOn w:val="18"/>
    <w:qFormat/>
    <w:uiPriority w:val="31"/>
    <w:rPr>
      <w:sz w:val="24"/>
      <w:szCs w:val="24"/>
      <w:u w:val="single"/>
    </w:rPr>
  </w:style>
  <w:style w:type="character" w:customStyle="1" w:styleId="42">
    <w:name w:val="Intense Reference"/>
    <w:basedOn w:val="18"/>
    <w:qFormat/>
    <w:uiPriority w:val="32"/>
    <w:rPr>
      <w:b/>
      <w:sz w:val="24"/>
      <w:u w:val="single"/>
    </w:rPr>
  </w:style>
  <w:style w:type="character" w:customStyle="1" w:styleId="43">
    <w:name w:val="Book Title"/>
    <w:basedOn w:val="18"/>
    <w:qFormat/>
    <w:uiPriority w:val="33"/>
    <w:rPr>
      <w:rFonts w:asciiTheme="majorHAnsi" w:hAnsiTheme="majorHAnsi" w:eastAsiaTheme="majorEastAsia"/>
      <w:b/>
      <w:i/>
      <w:sz w:val="24"/>
      <w:szCs w:val="24"/>
    </w:rPr>
  </w:style>
  <w:style w:type="paragraph" w:customStyle="1" w:styleId="44">
    <w:name w:val="TOC Heading"/>
    <w:basedOn w:val="3"/>
    <w:next w:val="1"/>
    <w:semiHidden/>
    <w:unhideWhenUsed/>
    <w:qFormat/>
    <w:uiPriority w:val="39"/>
    <w:pPr>
      <w:outlineLvl w:val="9"/>
    </w:pPr>
    <w:rPr>
      <w:lang w:eastAsia="en-US" w:bidi="en-US"/>
    </w:rPr>
  </w:style>
  <w:style w:type="character" w:customStyle="1" w:styleId="45">
    <w:name w:val="页眉 Char"/>
    <w:basedOn w:val="18"/>
    <w:link w:val="14"/>
    <w:qFormat/>
    <w:uiPriority w:val="99"/>
    <w:rPr>
      <w:rFonts w:ascii="Calibri" w:hAnsi="Calibri" w:eastAsia="宋体"/>
      <w:kern w:val="2"/>
      <w:sz w:val="18"/>
      <w:szCs w:val="18"/>
    </w:rPr>
  </w:style>
  <w:style w:type="character" w:customStyle="1" w:styleId="46">
    <w:name w:val="页脚 Char"/>
    <w:basedOn w:val="18"/>
    <w:link w:val="13"/>
    <w:qFormat/>
    <w:uiPriority w:val="99"/>
    <w:rPr>
      <w:rFonts w:ascii="Calibri" w:hAnsi="Calibri" w:eastAsia="宋体"/>
      <w:kern w:val="2"/>
      <w:sz w:val="18"/>
      <w:szCs w:val="18"/>
    </w:rPr>
  </w:style>
  <w:style w:type="character" w:customStyle="1" w:styleId="47">
    <w:name w:val="文档结构图 Char"/>
    <w:basedOn w:val="18"/>
    <w:link w:val="11"/>
    <w:semiHidden/>
    <w:qFormat/>
    <w:uiPriority w:val="99"/>
    <w:rPr>
      <w:rFonts w:ascii="宋体" w:hAnsi="Times New Roman" w:eastAsia="宋体"/>
      <w:kern w:val="2"/>
      <w:sz w:val="18"/>
      <w:szCs w:val="18"/>
    </w:rPr>
  </w:style>
  <w:style w:type="character" w:customStyle="1" w:styleId="48">
    <w:name w:val="批注框文本 Char"/>
    <w:basedOn w:val="18"/>
    <w:link w:val="12"/>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B22CC9E-B37B-4EC9-8F5D-0F12D70F26C2}">
  <ds:schemaRefs/>
</ds:datastoreItem>
</file>

<file path=docProps/app.xml><?xml version="1.0" encoding="utf-8"?>
<Properties xmlns="http://schemas.openxmlformats.org/officeDocument/2006/extended-properties" xmlns:vt="http://schemas.openxmlformats.org/officeDocument/2006/docPropsVTypes">
  <Template>Normal.dotm</Template>
  <Pages>7</Pages>
  <Words>420</Words>
  <Characters>2400</Characters>
  <Lines>20</Lines>
  <Paragraphs>5</Paragraphs>
  <TotalTime>1</TotalTime>
  <ScaleCrop>false</ScaleCrop>
  <LinksUpToDate>false</LinksUpToDate>
  <CharactersWithSpaces>2815</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Administrator</cp:lastModifiedBy>
  <cp:lastPrinted>2018-12-17T10:15:00Z</cp:lastPrinted>
  <dcterms:modified xsi:type="dcterms:W3CDTF">2019-09-17T07:16:04Z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